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3509C" w14:textId="77777777" w:rsidR="00F556B4" w:rsidRPr="00EB6D8F" w:rsidRDefault="006428EE" w:rsidP="0023172D">
      <w:pPr>
        <w:jc w:val="center"/>
        <w:rPr>
          <w:b/>
        </w:rPr>
      </w:pPr>
      <w:bookmarkStart w:id="0" w:name="_GoBack"/>
      <w:bookmarkEnd w:id="0"/>
      <w:r w:rsidRPr="00EB6D8F">
        <w:rPr>
          <w:b/>
        </w:rPr>
        <w:t>A Resolution of the Bowling Green State University Faculty Senate</w:t>
      </w:r>
    </w:p>
    <w:p w14:paraId="3AC86AE1" w14:textId="081649A6" w:rsidR="00EB6D8F" w:rsidRDefault="00A2021B" w:rsidP="0023172D">
      <w:pPr>
        <w:jc w:val="center"/>
      </w:pPr>
      <w:r>
        <w:t>Title</w:t>
      </w:r>
      <w:r w:rsidR="00EB6D8F">
        <w:t>:</w:t>
      </w:r>
      <w:r w:rsidR="00262AF1">
        <w:t xml:space="preserve">  </w:t>
      </w:r>
      <w:r w:rsidR="00D03FA6">
        <w:rPr>
          <w:u w:val="single"/>
        </w:rPr>
        <w:t>Resolution to Adjust Spring 2021 Faculty Senate Meetings</w:t>
      </w:r>
    </w:p>
    <w:p w14:paraId="35B91D78" w14:textId="509E0473" w:rsidR="00AE3834" w:rsidRDefault="00EB6D8F" w:rsidP="0023172D">
      <w:pPr>
        <w:jc w:val="center"/>
      </w:pPr>
      <w:r>
        <w:t xml:space="preserve">Presented </w:t>
      </w:r>
      <w:r w:rsidR="00262AF1">
        <w:t>on</w:t>
      </w:r>
      <w:r w:rsidR="00AE3834">
        <w:t xml:space="preserve">: </w:t>
      </w:r>
      <w:r w:rsidR="00262AF1">
        <w:t xml:space="preserve"> </w:t>
      </w:r>
      <w:r w:rsidR="00D03FA6">
        <w:rPr>
          <w:u w:val="single"/>
        </w:rPr>
        <w:t>3 November 2020</w:t>
      </w:r>
      <w:r w:rsidR="00262AF1">
        <w:t xml:space="preserve"> </w:t>
      </w:r>
    </w:p>
    <w:p w14:paraId="19AC555E" w14:textId="50755E8C" w:rsidR="00AE3834" w:rsidRDefault="00AE3834" w:rsidP="0023172D">
      <w:pPr>
        <w:jc w:val="center"/>
      </w:pPr>
      <w:r>
        <w:t xml:space="preserve">By: </w:t>
      </w:r>
      <w:r w:rsidR="00262AF1">
        <w:t xml:space="preserve"> </w:t>
      </w:r>
      <w:r w:rsidR="00D03FA6">
        <w:rPr>
          <w:u w:val="single"/>
        </w:rPr>
        <w:t>Christopher Frey</w:t>
      </w:r>
    </w:p>
    <w:p w14:paraId="0353C9A6" w14:textId="35C53F4B" w:rsidR="00EB6D8F" w:rsidRDefault="00AE3834" w:rsidP="0023172D">
      <w:pPr>
        <w:jc w:val="center"/>
      </w:pPr>
      <w:r>
        <w:t xml:space="preserve">On behalf of:  </w:t>
      </w:r>
      <w:r w:rsidR="00D03FA6">
        <w:rPr>
          <w:u w:val="single"/>
        </w:rPr>
        <w:t>Senate Executive Committee</w:t>
      </w:r>
      <w:r w:rsidR="00EB6D8F">
        <w:t xml:space="preserve"> </w:t>
      </w:r>
    </w:p>
    <w:tbl>
      <w:tblPr>
        <w:tblStyle w:val="TableGrid"/>
        <w:tblW w:w="9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56"/>
        <w:gridCol w:w="508"/>
      </w:tblGrid>
      <w:tr w:rsidR="0043322D" w14:paraId="3B665BAD" w14:textId="77777777" w:rsidTr="00475307">
        <w:tc>
          <w:tcPr>
            <w:tcW w:w="8856" w:type="dxa"/>
          </w:tcPr>
          <w:p w14:paraId="406B9842" w14:textId="2294F50C" w:rsidR="0043322D" w:rsidRDefault="0043322D" w:rsidP="00474BFA">
            <w:pPr>
              <w:spacing w:before="70" w:after="70"/>
            </w:pPr>
            <w:r>
              <w:t xml:space="preserve">WHEREAS </w:t>
            </w:r>
            <w:r w:rsidR="00D03FA6">
              <w:t xml:space="preserve">Bowling Green State University has </w:t>
            </w:r>
            <w:r w:rsidR="00474BFA">
              <w:t>revised</w:t>
            </w:r>
            <w:r w:rsidR="00D03FA6">
              <w:t xml:space="preserve"> its Spring 2021 Academic Calendar because of the novel Coronovirus; and </w:t>
            </w:r>
            <w:r w:rsidR="00D03FA6">
              <w:br/>
              <w:t xml:space="preserve">WHEREAS </w:t>
            </w:r>
            <w:r w:rsidR="00474BFA">
              <w:t>in the revised</w:t>
            </w:r>
            <w:r w:rsidR="00D03FA6">
              <w:t xml:space="preserve"> Academic Calendar </w:t>
            </w:r>
            <w:r w:rsidR="00474BFA">
              <w:t>for</w:t>
            </w:r>
            <w:r w:rsidR="00D03FA6">
              <w:t xml:space="preserve"> Spring 2021 </w:t>
            </w:r>
            <w:r w:rsidR="00474BFA">
              <w:t>semester, classes begin</w:t>
            </w:r>
            <w:r w:rsidR="00D03FA6">
              <w:t xml:space="preserve"> January 11, 2021 and end April 30, 2021; </w:t>
            </w:r>
          </w:p>
        </w:tc>
        <w:tc>
          <w:tcPr>
            <w:tcW w:w="508" w:type="dxa"/>
          </w:tcPr>
          <w:p w14:paraId="290DE159" w14:textId="77777777" w:rsidR="0043322D" w:rsidRPr="00474BFA" w:rsidRDefault="00D14A9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fldChar w:fldCharType="begin"/>
            </w: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instrText xml:space="preserve"> AUTONUMLGL  \* GB2 \e </w:instrText>
            </w: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fldChar w:fldCharType="end"/>
            </w:r>
          </w:p>
          <w:p w14:paraId="603BF6A3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7ABCE33C" w14:textId="643F01FB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t>(2)</w:t>
            </w:r>
          </w:p>
        </w:tc>
      </w:tr>
      <w:tr w:rsidR="00CD279F" w14:paraId="55CC1BCF" w14:textId="77777777" w:rsidTr="00D254A5">
        <w:tc>
          <w:tcPr>
            <w:tcW w:w="8856" w:type="dxa"/>
          </w:tcPr>
          <w:p w14:paraId="02CC9923" w14:textId="134FA8E5" w:rsidR="00CD279F" w:rsidRDefault="00D03FA6" w:rsidP="00474BFA">
            <w:pPr>
              <w:spacing w:before="70" w:after="70"/>
            </w:pPr>
            <w:r w:rsidRPr="005E1AC2">
              <w:t>BE IT THEREFORE RESOLVED</w:t>
            </w:r>
            <w:r>
              <w:t xml:space="preserve"> that Faculty Senate and Senate Executive Committee meetings be </w:t>
            </w:r>
            <w:r w:rsidR="00474BFA">
              <w:t>scheduled</w:t>
            </w:r>
            <w:r>
              <w:t xml:space="preserve"> as follows:</w:t>
            </w:r>
          </w:p>
          <w:p w14:paraId="2779A4C3" w14:textId="77777777" w:rsidR="00D03FA6" w:rsidRDefault="00D03FA6" w:rsidP="00474BFA">
            <w:pPr>
              <w:pStyle w:val="ListParagraph"/>
              <w:numPr>
                <w:ilvl w:val="0"/>
                <w:numId w:val="1"/>
              </w:numPr>
              <w:spacing w:before="70" w:after="70"/>
            </w:pPr>
            <w:r>
              <w:t>The Senate Executive Committee shall meet on Tuesday, January 19, 2021;</w:t>
            </w:r>
          </w:p>
          <w:p w14:paraId="1329C66F" w14:textId="555FB92D" w:rsidR="00D03FA6" w:rsidRDefault="00D03FA6" w:rsidP="00474BFA">
            <w:pPr>
              <w:pStyle w:val="ListParagraph"/>
              <w:numPr>
                <w:ilvl w:val="0"/>
                <w:numId w:val="1"/>
              </w:numPr>
              <w:spacing w:before="70" w:after="70"/>
            </w:pPr>
            <w:r>
              <w:t>The Senate Executive Committee and Provost shall meet on Tuesday, January 26, 2021;</w:t>
            </w:r>
          </w:p>
          <w:p w14:paraId="738A12F4" w14:textId="49232303" w:rsidR="00D03FA6" w:rsidRDefault="00D03FA6" w:rsidP="00474BFA">
            <w:pPr>
              <w:pStyle w:val="ListParagraph"/>
              <w:numPr>
                <w:ilvl w:val="0"/>
                <w:numId w:val="1"/>
              </w:numPr>
              <w:spacing w:before="70" w:after="70"/>
            </w:pPr>
            <w:r>
              <w:t>The Senate Executive Committee meeting scheduled for Tuesday, April 27, 2021 shall be an on-call meeting;</w:t>
            </w:r>
          </w:p>
          <w:p w14:paraId="471C321E" w14:textId="51FBD858" w:rsidR="00D03FA6" w:rsidRDefault="00D03FA6" w:rsidP="00474BFA">
            <w:pPr>
              <w:pStyle w:val="ListParagraph"/>
              <w:numPr>
                <w:ilvl w:val="0"/>
                <w:numId w:val="1"/>
              </w:numPr>
              <w:spacing w:before="70" w:after="70"/>
            </w:pPr>
            <w:r>
              <w:t>The Faculty Senate meeting scheduled for Tuesday, May 4, 2021 shall be an on-call meeting;</w:t>
            </w:r>
          </w:p>
          <w:p w14:paraId="2C9CEA57" w14:textId="77777777" w:rsidR="00D03FA6" w:rsidRDefault="00D03FA6" w:rsidP="00474BFA">
            <w:pPr>
              <w:pStyle w:val="ListParagraph"/>
              <w:numPr>
                <w:ilvl w:val="0"/>
                <w:numId w:val="1"/>
              </w:numPr>
              <w:spacing w:before="70" w:after="70"/>
            </w:pPr>
            <w:r>
              <w:t xml:space="preserve">The Senate Executive Committee and Provost meeting scheduled for Tuesday, May 11, 2021 shall be an on-call meeting. </w:t>
            </w:r>
          </w:p>
          <w:p w14:paraId="40F1B29D" w14:textId="4789901F" w:rsidR="00D03FA6" w:rsidRDefault="00D03FA6" w:rsidP="00474BFA">
            <w:pPr>
              <w:spacing w:before="70" w:after="70"/>
            </w:pPr>
            <w:r>
              <w:t>BE IT FURTHER RESOLVED that all other previously scheduled meetings for February, March and April 2021 will be held as scheduled; and</w:t>
            </w:r>
          </w:p>
          <w:p w14:paraId="02E188A8" w14:textId="4D177646" w:rsidR="00D03FA6" w:rsidRDefault="00D03FA6" w:rsidP="00474BFA">
            <w:pPr>
              <w:spacing w:before="70" w:after="70"/>
            </w:pPr>
            <w:r>
              <w:t xml:space="preserve">BE IT FURTHER RESOLVED that </w:t>
            </w:r>
            <w:r w:rsidR="00474BFA">
              <w:t xml:space="preserve">upon adoption of this resolution, </w:t>
            </w:r>
            <w:r>
              <w:t>the</w:t>
            </w:r>
            <w:r w:rsidR="00665F99">
              <w:t xml:space="preserve"> </w:t>
            </w:r>
            <w:r w:rsidR="00474BFA">
              <w:t>revised</w:t>
            </w:r>
            <w:r w:rsidR="00665F99">
              <w:t xml:space="preserve"> Faculty Senate meeting schedule shall be published and distributed by Friday, November 6, 202</w:t>
            </w:r>
            <w:r w:rsidR="00474BFA">
              <w:t>0</w:t>
            </w:r>
            <w:r w:rsidR="00665F99">
              <w:t xml:space="preserve">. </w:t>
            </w:r>
          </w:p>
        </w:tc>
        <w:tc>
          <w:tcPr>
            <w:tcW w:w="508" w:type="dxa"/>
          </w:tcPr>
          <w:p w14:paraId="101D7A53" w14:textId="77777777" w:rsidR="00CD279F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t>(3)</w:t>
            </w:r>
          </w:p>
          <w:p w14:paraId="71A7CD78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1D5ACF61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07BE2987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66FBDE23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122B30E8" w14:textId="62F8A93B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6A2DAFC4" w14:textId="75BCE763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6B05C476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04074DF8" w14:textId="223B89A9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t>(4)</w:t>
            </w:r>
          </w:p>
          <w:p w14:paraId="5D460544" w14:textId="77777777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  <w:p w14:paraId="1D6F3A56" w14:textId="6AB474A6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474BFA">
              <w:rPr>
                <w:rFonts w:asciiTheme="majorEastAsia" w:eastAsiaTheme="majorEastAsia" w:hAnsiTheme="majorEastAsia" w:cstheme="majorHAnsi"/>
                <w:sz w:val="20"/>
              </w:rPr>
              <w:t>(5)</w:t>
            </w:r>
          </w:p>
          <w:p w14:paraId="2144570C" w14:textId="5F03720F" w:rsidR="00474BFA" w:rsidRPr="00474BFA" w:rsidRDefault="00474BFA" w:rsidP="00474BFA">
            <w:pPr>
              <w:spacing w:before="90" w:after="70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</w:tr>
      <w:tr w:rsidR="00D14A9A" w14:paraId="47E503F2" w14:textId="77777777" w:rsidTr="00475307">
        <w:tc>
          <w:tcPr>
            <w:tcW w:w="8856" w:type="dxa"/>
          </w:tcPr>
          <w:p w14:paraId="3AFCC92E" w14:textId="7DC83282" w:rsidR="00D14A9A" w:rsidRDefault="00D14A9A" w:rsidP="00A558D8">
            <w:pPr>
              <w:spacing w:before="70" w:after="70"/>
              <w:jc w:val="both"/>
            </w:pPr>
          </w:p>
        </w:tc>
        <w:tc>
          <w:tcPr>
            <w:tcW w:w="508" w:type="dxa"/>
          </w:tcPr>
          <w:p w14:paraId="0EBEC700" w14:textId="611CD48F" w:rsidR="00D14A9A" w:rsidRPr="00475307" w:rsidRDefault="00D14A9A" w:rsidP="00474BFA">
            <w:pPr>
              <w:spacing w:before="90" w:after="70"/>
              <w:rPr>
                <w:sz w:val="20"/>
              </w:rPr>
            </w:pPr>
          </w:p>
        </w:tc>
      </w:tr>
      <w:tr w:rsidR="00D14A9A" w14:paraId="0BC662CA" w14:textId="77777777" w:rsidTr="00475307">
        <w:tc>
          <w:tcPr>
            <w:tcW w:w="8856" w:type="dxa"/>
          </w:tcPr>
          <w:p w14:paraId="37D5368D" w14:textId="543BDA9A" w:rsidR="00D14A9A" w:rsidRDefault="00D14A9A" w:rsidP="00A558D8">
            <w:pPr>
              <w:spacing w:before="70" w:after="70"/>
              <w:jc w:val="both"/>
            </w:pPr>
          </w:p>
        </w:tc>
        <w:tc>
          <w:tcPr>
            <w:tcW w:w="508" w:type="dxa"/>
          </w:tcPr>
          <w:p w14:paraId="099A9EAF" w14:textId="2A136CAF" w:rsidR="00D14A9A" w:rsidRPr="00475307" w:rsidRDefault="00D14A9A" w:rsidP="00D14A9A">
            <w:pPr>
              <w:spacing w:before="90" w:after="70"/>
              <w:jc w:val="center"/>
              <w:rPr>
                <w:sz w:val="20"/>
              </w:rPr>
            </w:pPr>
          </w:p>
        </w:tc>
      </w:tr>
    </w:tbl>
    <w:p w14:paraId="54C8903C" w14:textId="77777777" w:rsidR="002751F3" w:rsidRDefault="002751F3" w:rsidP="00665F99">
      <w:pPr>
        <w:spacing w:after="120"/>
      </w:pPr>
    </w:p>
    <w:sectPr w:rsidR="00275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E6006" w14:textId="77777777" w:rsidR="00E123C0" w:rsidRDefault="00E123C0" w:rsidP="00B86974">
      <w:pPr>
        <w:spacing w:after="0" w:line="240" w:lineRule="auto"/>
      </w:pPr>
      <w:r>
        <w:separator/>
      </w:r>
    </w:p>
  </w:endnote>
  <w:endnote w:type="continuationSeparator" w:id="0">
    <w:p w14:paraId="3D943C5A" w14:textId="77777777" w:rsidR="00E123C0" w:rsidRDefault="00E123C0" w:rsidP="00B86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4BB67" w14:textId="77777777" w:rsidR="00E123C0" w:rsidRDefault="00E123C0" w:rsidP="00B86974">
      <w:pPr>
        <w:spacing w:after="0" w:line="240" w:lineRule="auto"/>
      </w:pPr>
      <w:r>
        <w:separator/>
      </w:r>
    </w:p>
  </w:footnote>
  <w:footnote w:type="continuationSeparator" w:id="0">
    <w:p w14:paraId="374410C1" w14:textId="77777777" w:rsidR="00E123C0" w:rsidRDefault="00E123C0" w:rsidP="00B86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96F"/>
    <w:multiLevelType w:val="hybridMultilevel"/>
    <w:tmpl w:val="DF0A2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34"/>
    <w:rsid w:val="000408AE"/>
    <w:rsid w:val="001C46D3"/>
    <w:rsid w:val="0023172D"/>
    <w:rsid w:val="00251F16"/>
    <w:rsid w:val="00262AF1"/>
    <w:rsid w:val="002751F3"/>
    <w:rsid w:val="002D37F3"/>
    <w:rsid w:val="00324EA7"/>
    <w:rsid w:val="00352F0F"/>
    <w:rsid w:val="0036249F"/>
    <w:rsid w:val="003750C4"/>
    <w:rsid w:val="003C7747"/>
    <w:rsid w:val="003D0DA8"/>
    <w:rsid w:val="0043322D"/>
    <w:rsid w:val="00445A64"/>
    <w:rsid w:val="00465EAC"/>
    <w:rsid w:val="00474BFA"/>
    <w:rsid w:val="00475307"/>
    <w:rsid w:val="004C3ED8"/>
    <w:rsid w:val="004E1899"/>
    <w:rsid w:val="00507593"/>
    <w:rsid w:val="00572F65"/>
    <w:rsid w:val="00576F58"/>
    <w:rsid w:val="00586443"/>
    <w:rsid w:val="006428EE"/>
    <w:rsid w:val="0064307F"/>
    <w:rsid w:val="00645B14"/>
    <w:rsid w:val="00665F99"/>
    <w:rsid w:val="006C19B1"/>
    <w:rsid w:val="007024DB"/>
    <w:rsid w:val="00720340"/>
    <w:rsid w:val="00754154"/>
    <w:rsid w:val="0080754E"/>
    <w:rsid w:val="008247A6"/>
    <w:rsid w:val="00851A58"/>
    <w:rsid w:val="008A36C6"/>
    <w:rsid w:val="008E43B3"/>
    <w:rsid w:val="00926E9A"/>
    <w:rsid w:val="00934391"/>
    <w:rsid w:val="00946859"/>
    <w:rsid w:val="009658BE"/>
    <w:rsid w:val="00972C36"/>
    <w:rsid w:val="009C3441"/>
    <w:rsid w:val="009E0AA9"/>
    <w:rsid w:val="00A2021B"/>
    <w:rsid w:val="00A558D8"/>
    <w:rsid w:val="00A73732"/>
    <w:rsid w:val="00AD1356"/>
    <w:rsid w:val="00AD7E5B"/>
    <w:rsid w:val="00AE3834"/>
    <w:rsid w:val="00B109D0"/>
    <w:rsid w:val="00B43161"/>
    <w:rsid w:val="00B7204C"/>
    <w:rsid w:val="00B86974"/>
    <w:rsid w:val="00BA10C7"/>
    <w:rsid w:val="00C27BCF"/>
    <w:rsid w:val="00CC3CE0"/>
    <w:rsid w:val="00CD279F"/>
    <w:rsid w:val="00D01F4C"/>
    <w:rsid w:val="00D03FA6"/>
    <w:rsid w:val="00D14A9A"/>
    <w:rsid w:val="00D2638E"/>
    <w:rsid w:val="00D5304D"/>
    <w:rsid w:val="00D57714"/>
    <w:rsid w:val="00D63D4A"/>
    <w:rsid w:val="00D94837"/>
    <w:rsid w:val="00E123C0"/>
    <w:rsid w:val="00E147F8"/>
    <w:rsid w:val="00E232BA"/>
    <w:rsid w:val="00E57105"/>
    <w:rsid w:val="00E65E88"/>
    <w:rsid w:val="00EA0B96"/>
    <w:rsid w:val="00EB6D8F"/>
    <w:rsid w:val="00EE073E"/>
    <w:rsid w:val="00EE36A1"/>
    <w:rsid w:val="00F21BA7"/>
    <w:rsid w:val="00F556B4"/>
    <w:rsid w:val="00FE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1F71C8"/>
  <w15:chartTrackingRefBased/>
  <w15:docId w15:val="{D7FF4A6B-CE1B-4706-8721-E72CD4D0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644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64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86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974"/>
  </w:style>
  <w:style w:type="paragraph" w:styleId="Footer">
    <w:name w:val="footer"/>
    <w:basedOn w:val="Normal"/>
    <w:link w:val="FooterChar"/>
    <w:uiPriority w:val="99"/>
    <w:unhideWhenUsed/>
    <w:rsid w:val="00B86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974"/>
  </w:style>
  <w:style w:type="table" w:styleId="TableGrid">
    <w:name w:val="Table Grid"/>
    <w:basedOn w:val="TableNormal"/>
    <w:uiPriority w:val="39"/>
    <w:rsid w:val="00433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3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ery\Documents\Dropbox\!!%20BGSU\Faculty%20Senate\Templates%20and%20Reference%20Materials\Senate%20Resolu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Senate Resolution Template.dotx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Ryan Lavery</dc:creator>
  <cp:keywords/>
  <dc:description/>
  <cp:lastModifiedBy>Kathleen McKay Newman</cp:lastModifiedBy>
  <cp:revision>2</cp:revision>
  <cp:lastPrinted>2019-12-06T14:29:00Z</cp:lastPrinted>
  <dcterms:created xsi:type="dcterms:W3CDTF">2020-11-04T17:18:00Z</dcterms:created>
  <dcterms:modified xsi:type="dcterms:W3CDTF">2020-11-04T17:18:00Z</dcterms:modified>
</cp:coreProperties>
</file>